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Calderdale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Calderdale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Calderdale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Calderdale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Calderdale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Calderdale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Calderdale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Calderdale is estimated to be </w:t>
      </w:r>
      <w:r w:rsidRPr="00773DF7">
        <w:rPr>
          <w:rFonts w:ascii="Libre Franklin Light" w:eastAsia="Times New Roman" w:hAnsi="Libre Franklin Light" w:cs="Calibri Light"/>
          <w:b/>
          <w:bCs/>
          <w:color w:val="C45911" w:themeColor="accent2" w:themeShade="BF"/>
        </w:rPr>
        <w:t xml:space="preserve">£4,909,503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Calderdale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Calderdale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Calderdale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Calderdale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lderda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Calderdale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lderda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Calderdale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Calderdale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lderda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Calderdale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Calderdale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Calderdale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Calderdale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Calderdale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Calderdale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£4,909,503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Calderdale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£79,968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£1,653,778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£118,471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£33,320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£61,086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£2,962,880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£4,909,503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Calderdale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Calderdale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Calderdale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Calderdale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Calderdale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Calderdale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Calderdale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Calderdale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Calderdale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Calderdale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Calderdale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Calderdale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CE6F4AA-61F5-4508-AFCE-4323F052B19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